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Pr="00121C7E" w:rsidRDefault="00763BA3" w:rsidP="008A54FC">
      <w:pPr>
        <w:rPr>
          <w:b/>
          <w:color w:val="FFFFFF"/>
          <w:szCs w:val="20"/>
          <w:lang w:val="en-GB"/>
        </w:rPr>
      </w:pPr>
      <w:r w:rsidRPr="00121C7E">
        <w:rPr>
          <w:b/>
          <w:color w:val="FFFFFF"/>
          <w:szCs w:val="20"/>
          <w:lang w:val="en-GB"/>
        </w:rPr>
        <w:t xml:space="preserve"> OF CONTENTS</w:t>
      </w:r>
    </w:p>
    <w:p w:rsidR="00067793" w:rsidRPr="00121C7E" w:rsidRDefault="00067793" w:rsidP="008A54FC">
      <w:pPr>
        <w:rPr>
          <w:b/>
          <w:color w:val="FFFFFF"/>
          <w:szCs w:val="20"/>
          <w:lang w:val="en-GB"/>
        </w:rPr>
      </w:pPr>
    </w:p>
    <w:p w:rsidR="00B25463" w:rsidRPr="00121C7E" w:rsidRDefault="00B25463" w:rsidP="0029448B">
      <w:pPr>
        <w:rPr>
          <w:b/>
          <w:color w:val="C00000"/>
          <w:lang w:val="en-GB"/>
        </w:rPr>
      </w:pPr>
      <w:r w:rsidRPr="00121C7E">
        <w:rPr>
          <w:b/>
          <w:color w:val="C00000"/>
          <w:lang w:val="en-GB"/>
        </w:rPr>
        <w:t xml:space="preserve">DRAFT CEPT BRIEF ON AGENDA ITEM </w:t>
      </w:r>
      <w:r w:rsidR="00DB7E11">
        <w:rPr>
          <w:b/>
          <w:color w:val="C00000"/>
          <w:lang w:val="en-GB"/>
        </w:rPr>
        <w:t>1.17</w:t>
      </w:r>
      <w:r w:rsidRPr="00121C7E">
        <w:rPr>
          <w:b/>
          <w:color w:val="C00000"/>
          <w:lang w:val="en-GB"/>
        </w:rPr>
        <w:t xml:space="preserve"> </w:t>
      </w:r>
    </w:p>
    <w:p w:rsidR="0029448B" w:rsidRPr="00121C7E" w:rsidRDefault="0029448B" w:rsidP="0029448B">
      <w:pPr>
        <w:rPr>
          <w:lang w:val="en-GB"/>
        </w:rPr>
      </w:pPr>
    </w:p>
    <w:p w:rsidR="0029448B" w:rsidRPr="00121C7E" w:rsidRDefault="00DB7E11" w:rsidP="0029448B">
      <w:pPr>
        <w:pStyle w:val="ECCParagraph"/>
      </w:pPr>
      <w:r>
        <w:t>1.17</w:t>
      </w:r>
      <w:r>
        <w:tab/>
      </w:r>
      <w:r w:rsidRPr="00DB7E11">
        <w:t>to consider possible spectrum requirements and regulatory actions, including appropriate aeronautical allocations, to support wireless avionics intra-communications (WAIC), in acco</w:t>
      </w:r>
      <w:r>
        <w:t xml:space="preserve">rdance with Resolution </w:t>
      </w:r>
      <w:r w:rsidRPr="00DB7E11">
        <w:rPr>
          <w:b/>
        </w:rPr>
        <w:t>423 (WRC-12)</w:t>
      </w:r>
    </w:p>
    <w:p w:rsidR="00B25463" w:rsidRPr="00121C7E" w:rsidRDefault="0029448B" w:rsidP="0029448B">
      <w:pPr>
        <w:pStyle w:val="Heading1"/>
      </w:pPr>
      <w:r w:rsidRPr="00121C7E">
        <w:t>ISSUE</w:t>
      </w:r>
    </w:p>
    <w:p w:rsidR="00DB7E11" w:rsidRDefault="00DB7E11" w:rsidP="00DB7E11">
      <w:pPr>
        <w:pStyle w:val="ECCNumberedBullets"/>
      </w:pPr>
      <w:r w:rsidRPr="00383C52">
        <w:t>to conduct, in time for WRC-15, the necessary studies to determine the spectrum requirements needed to support WAIC systems;</w:t>
      </w:r>
    </w:p>
    <w:p w:rsidR="00DB7E11" w:rsidRPr="00DB7E11" w:rsidRDefault="00DB7E11" w:rsidP="00DB7E11">
      <w:pPr>
        <w:pStyle w:val="ECCNumberedBullets"/>
      </w:pPr>
      <w:r w:rsidRPr="00383C52">
        <w:rPr>
          <w:rFonts w:cs="Arial"/>
          <w:szCs w:val="20"/>
        </w:rPr>
        <w:t xml:space="preserve">to conduct sharing and compatibility studies, based on the results of </w:t>
      </w:r>
      <w:r w:rsidRPr="00383C52">
        <w:rPr>
          <w:rFonts w:cs="Arial"/>
          <w:i/>
          <w:iCs/>
          <w:szCs w:val="20"/>
        </w:rPr>
        <w:t xml:space="preserve">invites ITU-R </w:t>
      </w:r>
      <w:r w:rsidRPr="00383C52">
        <w:rPr>
          <w:rFonts w:cs="Arial"/>
          <w:szCs w:val="20"/>
        </w:rPr>
        <w:t>1, to determine appropriate frequency bands and regulatory actions;</w:t>
      </w:r>
    </w:p>
    <w:p w:rsidR="00DB7E11" w:rsidRPr="00383C52" w:rsidRDefault="00DB7E11" w:rsidP="00DB7E11">
      <w:pPr>
        <w:pStyle w:val="ECCNumberedBullets"/>
      </w:pPr>
      <w:r w:rsidRPr="00383C52">
        <w:t xml:space="preserve">when conducting studies in accordance with </w:t>
      </w:r>
      <w:r w:rsidRPr="00383C52">
        <w:rPr>
          <w:i/>
          <w:iCs/>
        </w:rPr>
        <w:t xml:space="preserve">invites ITU-R </w:t>
      </w:r>
      <w:r w:rsidRPr="00383C52">
        <w:t>2, to consider:</w:t>
      </w:r>
    </w:p>
    <w:p w:rsidR="00DB7E11" w:rsidRDefault="00DB7E11" w:rsidP="00DB7E11">
      <w:pPr>
        <w:pStyle w:val="ECCNumberedBullets"/>
        <w:numPr>
          <w:ilvl w:val="0"/>
          <w:numId w:val="0"/>
        </w:numPr>
        <w:ind w:left="340"/>
      </w:pPr>
    </w:p>
    <w:p w:rsidR="00DB7E11" w:rsidRDefault="00DB7E11" w:rsidP="00DB7E11">
      <w:pPr>
        <w:pStyle w:val="ECCNumbered-LetteredList"/>
        <w:numPr>
          <w:ilvl w:val="0"/>
          <w:numId w:val="21"/>
        </w:numPr>
      </w:pPr>
      <w:r w:rsidRPr="00383C52">
        <w:t>frequency bands within existing worldwide aeronautical mobile service,</w:t>
      </w:r>
      <w:r>
        <w:t xml:space="preserve"> </w:t>
      </w:r>
      <w:r w:rsidRPr="00383C52">
        <w:t>aeronautical mobile (R) service and aeronautical radionavigation service</w:t>
      </w:r>
      <w:r>
        <w:t xml:space="preserve"> </w:t>
      </w:r>
      <w:r w:rsidRPr="00383C52">
        <w:t>allocations;</w:t>
      </w:r>
    </w:p>
    <w:p w:rsidR="00DB7E11" w:rsidRPr="00383C52" w:rsidRDefault="00DB7E11" w:rsidP="00DB7E11">
      <w:pPr>
        <w:pStyle w:val="ECCNumbered-LetteredList"/>
        <w:numPr>
          <w:ilvl w:val="0"/>
          <w:numId w:val="21"/>
        </w:numPr>
      </w:pPr>
      <w:r>
        <w:t xml:space="preserve">additional frequency bands above 15.7 GHz for aeronautical services if spectrum requirements cannot be met in frequency bands studied under invites ITU-R 3 i). </w:t>
      </w:r>
    </w:p>
    <w:p w:rsidR="00DB7E11" w:rsidRPr="00383C52" w:rsidRDefault="00DB7E11" w:rsidP="00DB7E11">
      <w:pPr>
        <w:pStyle w:val="ECCNumberedBullets"/>
        <w:numPr>
          <w:ilvl w:val="0"/>
          <w:numId w:val="0"/>
        </w:numPr>
        <w:ind w:left="340"/>
      </w:pPr>
    </w:p>
    <w:p w:rsidR="00005CA4" w:rsidRPr="00121C7E" w:rsidRDefault="00005CA4" w:rsidP="00005CA4">
      <w:pPr>
        <w:pStyle w:val="Heading1"/>
      </w:pPr>
      <w:r w:rsidRPr="00121C7E">
        <w:t xml:space="preserve">Preliminary CEPT position </w:t>
      </w:r>
    </w:p>
    <w:p w:rsidR="00DB7E11" w:rsidRDefault="00DB7E11" w:rsidP="00DB7E11">
      <w:pPr>
        <w:pStyle w:val="ECCParBulleted"/>
        <w:numPr>
          <w:ilvl w:val="0"/>
          <w:numId w:val="0"/>
        </w:numPr>
        <w:ind w:left="340" w:hanging="340"/>
      </w:pPr>
    </w:p>
    <w:p w:rsidR="00DB7E11" w:rsidRPr="00383C52" w:rsidRDefault="00DB7E11" w:rsidP="00DB7E11">
      <w:pPr>
        <w:pStyle w:val="ECCParBulleted"/>
        <w:numPr>
          <w:ilvl w:val="0"/>
          <w:numId w:val="19"/>
        </w:numPr>
        <w:spacing w:after="120"/>
        <w:rPr>
          <w:rFonts w:cs="Arial"/>
          <w:szCs w:val="20"/>
        </w:rPr>
      </w:pPr>
      <w:r w:rsidRPr="00383C52">
        <w:rPr>
          <w:rFonts w:cs="Arial"/>
          <w:szCs w:val="20"/>
        </w:rPr>
        <w:t>WAIC communication is considered to be an application of a safety service as defined in RR 1.59. Consequently WAIC is an application of the Aeronautical Mobile (Route) Service (AM(R)S).</w:t>
      </w:r>
    </w:p>
    <w:p w:rsidR="00DB7E11" w:rsidRPr="00383C52" w:rsidRDefault="00DB7E11" w:rsidP="00DB7E11">
      <w:pPr>
        <w:pStyle w:val="ECCParBulleted"/>
        <w:numPr>
          <w:ilvl w:val="0"/>
          <w:numId w:val="19"/>
        </w:numPr>
        <w:spacing w:after="120"/>
        <w:rPr>
          <w:rFonts w:cs="Arial"/>
          <w:szCs w:val="20"/>
        </w:rPr>
      </w:pPr>
      <w:r w:rsidRPr="00383C52">
        <w:rPr>
          <w:rFonts w:cs="Arial"/>
          <w:szCs w:val="20"/>
        </w:rPr>
        <w:t>CEPT supports the spectrum requirement of [239] MHz for WAIC as determined in the PDNR ITU-R M. [WAIC_CHAR_SPEC].</w:t>
      </w:r>
    </w:p>
    <w:p w:rsidR="00DB7E11" w:rsidRPr="00383C52" w:rsidRDefault="00DB7E11" w:rsidP="00DB7E11">
      <w:pPr>
        <w:pStyle w:val="ECCParBulleted"/>
        <w:numPr>
          <w:ilvl w:val="0"/>
          <w:numId w:val="19"/>
        </w:numPr>
        <w:spacing w:after="120"/>
        <w:rPr>
          <w:rFonts w:cs="Arial"/>
          <w:szCs w:val="20"/>
        </w:rPr>
      </w:pPr>
      <w:r w:rsidRPr="00383C52">
        <w:rPr>
          <w:rFonts w:cs="Arial"/>
          <w:szCs w:val="20"/>
        </w:rPr>
        <w:t xml:space="preserve">CEPT supports the identification of [239] MHz of frequency spectrum under the AM(R)S, for the harmonized usage of WAIC. </w:t>
      </w:r>
    </w:p>
    <w:p w:rsidR="009744B4" w:rsidRPr="00121C7E" w:rsidRDefault="009744B4" w:rsidP="009744B4">
      <w:pPr>
        <w:pStyle w:val="Heading1"/>
      </w:pPr>
      <w:r w:rsidRPr="00121C7E">
        <w:t xml:space="preserve">Background </w:t>
      </w:r>
    </w:p>
    <w:p w:rsidR="00DB7E11" w:rsidRPr="00383C52" w:rsidRDefault="00DB7E11" w:rsidP="00DB7E11">
      <w:pPr>
        <w:pStyle w:val="Reasons"/>
        <w:rPr>
          <w:rFonts w:ascii="Arial" w:hAnsi="Arial" w:cs="Arial"/>
          <w:sz w:val="20"/>
          <w:lang w:val="en-US"/>
        </w:rPr>
      </w:pPr>
      <w:r w:rsidRPr="00383C52">
        <w:rPr>
          <w:rFonts w:ascii="Arial" w:hAnsi="Arial" w:cs="Arial"/>
          <w:sz w:val="20"/>
          <w:lang w:val="en-US"/>
        </w:rPr>
        <w:t>The civil aviation industry is continually developing future generations of aircraft. Each subsequent generation is designed to enhance efficiency and reliability while maintaining current required levels of safety.</w:t>
      </w:r>
      <w:r w:rsidRPr="00383C52">
        <w:rPr>
          <w:rFonts w:ascii="Arial" w:hAnsi="Arial" w:cs="Arial"/>
          <w:iCs/>
          <w:sz w:val="20"/>
          <w:lang w:val="en-US"/>
        </w:rPr>
        <w:t xml:space="preserve"> Wireless avionics intra-communications (WAIC) systems </w:t>
      </w:r>
      <w:r w:rsidRPr="00383C52">
        <w:rPr>
          <w:rFonts w:ascii="Arial" w:hAnsi="Arial" w:cs="Arial"/>
          <w:sz w:val="20"/>
          <w:lang w:val="en-US"/>
        </w:rPr>
        <w:t>make use of radio communications between two or more stations on a single aircraft; consisting of on-board networks supporting the operation of the aircraft and its systems. WAIC system transmissions may not be limited to the interior of the aircraft structure, depending on the type of aircraft. For example, sensors mounted on the wings or engines could communicate with systems located within the airplane.</w:t>
      </w:r>
    </w:p>
    <w:p w:rsidR="00DB7E11" w:rsidRPr="00383C52" w:rsidRDefault="00DB7E11" w:rsidP="00DB7E11">
      <w:pPr>
        <w:pStyle w:val="Reasons"/>
        <w:rPr>
          <w:rFonts w:ascii="Arial" w:hAnsi="Arial" w:cs="Arial"/>
          <w:sz w:val="20"/>
          <w:lang w:val="en-US"/>
        </w:rPr>
      </w:pPr>
      <w:r w:rsidRPr="00383C52">
        <w:rPr>
          <w:rFonts w:ascii="Arial" w:hAnsi="Arial" w:cs="Arial"/>
          <w:sz w:val="20"/>
          <w:lang w:val="en-US"/>
        </w:rPr>
        <w:t>WAIC systems will be used for safety-related aircraft applications, providing communications within a single aircraft (i.e. WAIC systems do not provide communications between an aircraft and the ground, another aircraft or a satellite). WAIC systems are intended to provide the opportunity for lower cost of operations and environmental benefits.</w:t>
      </w:r>
    </w:p>
    <w:p w:rsidR="00DB7E11" w:rsidRPr="00383C52" w:rsidRDefault="00DB7E11" w:rsidP="00DB7E11">
      <w:pPr>
        <w:pStyle w:val="Reasons"/>
        <w:rPr>
          <w:rFonts w:ascii="Arial" w:hAnsi="Arial" w:cs="Arial"/>
          <w:sz w:val="20"/>
          <w:lang w:val="en-US"/>
        </w:rPr>
      </w:pPr>
      <w:r w:rsidRPr="00383C52">
        <w:rPr>
          <w:rFonts w:ascii="Arial" w:hAnsi="Arial" w:cs="Arial"/>
          <w:sz w:val="20"/>
          <w:lang w:val="en-US"/>
        </w:rPr>
        <w:t>To reflect the diverging conditions and requirements different categories of WAIC systems, based on the two criteria “data rate requirements” and “transmit antenna location on the aircraft”, i.e. internal or external to the aircraft structure, are defined. For determining bandwidth requirements, low rate and high rate systems are separately considered due to differing technical requirements and technological restrictions their implementation may face.</w:t>
      </w:r>
    </w:p>
    <w:p w:rsidR="00DB7E11" w:rsidRPr="00383C52" w:rsidRDefault="00DB7E11" w:rsidP="00DB7E11">
      <w:pPr>
        <w:pStyle w:val="Reasons"/>
        <w:rPr>
          <w:rFonts w:ascii="Arial" w:hAnsi="Arial" w:cs="Arial"/>
          <w:sz w:val="20"/>
          <w:lang w:val="en-US"/>
        </w:rPr>
      </w:pPr>
      <w:r w:rsidRPr="00383C52">
        <w:rPr>
          <w:rFonts w:ascii="Arial" w:hAnsi="Arial" w:cs="Arial"/>
          <w:iCs/>
          <w:sz w:val="20"/>
        </w:rPr>
        <w:t xml:space="preserve">Because WAIC systems carry aeronautical safety related content they are classified as an application of the aeronautical mobile (route) service (AM(R)S). With the spectrum requirement of [239 MHz] for WAIC as determined in the current PDNR ITU-R M.[WAIC_CHAR_SPEC] the possible use of existing AM(R)S </w:t>
      </w:r>
      <w:r w:rsidRPr="00383C52">
        <w:rPr>
          <w:rFonts w:ascii="Arial" w:hAnsi="Arial" w:cs="Arial"/>
          <w:iCs/>
          <w:sz w:val="20"/>
        </w:rPr>
        <w:lastRenderedPageBreak/>
        <w:t xml:space="preserve">allocations should be evaluated. Priority is on </w:t>
      </w:r>
      <w:r w:rsidRPr="00383C52">
        <w:rPr>
          <w:rFonts w:ascii="Arial" w:hAnsi="Arial" w:cs="Arial"/>
          <w:sz w:val="20"/>
        </w:rPr>
        <w:t>frequency bands within existing worldwide aeronautical mobile service, aeronautical mobile (R) service and aeronautical radionavigation service allocations.</w:t>
      </w:r>
    </w:p>
    <w:p w:rsidR="009744B4" w:rsidRPr="00121C7E" w:rsidRDefault="009744B4" w:rsidP="009744B4">
      <w:pPr>
        <w:pStyle w:val="Heading1"/>
      </w:pPr>
      <w:r w:rsidRPr="00121C7E">
        <w:t>List of relevant documents</w:t>
      </w:r>
    </w:p>
    <w:p w:rsidR="00B6760C" w:rsidRPr="00804623" w:rsidRDefault="00B6760C" w:rsidP="00B6760C">
      <w:pPr>
        <w:pStyle w:val="ECCParagraph"/>
        <w:rPr>
          <w:b/>
        </w:rPr>
      </w:pPr>
      <w:r w:rsidRPr="00804623">
        <w:rPr>
          <w:b/>
        </w:rPr>
        <w:t xml:space="preserve">ITU-Recommendations: </w:t>
      </w:r>
    </w:p>
    <w:p w:rsidR="00B6760C" w:rsidRPr="00383C52" w:rsidRDefault="00B6760C" w:rsidP="00B6760C">
      <w:pPr>
        <w:pStyle w:val="ECCParagraph"/>
        <w:spacing w:before="120" w:after="120"/>
        <w:rPr>
          <w:szCs w:val="20"/>
          <w:lang w:val="en-US"/>
        </w:rPr>
      </w:pPr>
      <w:r w:rsidRPr="00383C52">
        <w:rPr>
          <w:szCs w:val="20"/>
        </w:rPr>
        <w:t>ITU-R P.525 –</w:t>
      </w:r>
      <w:r w:rsidRPr="00383C52">
        <w:rPr>
          <w:szCs w:val="20"/>
        </w:rPr>
        <w:tab/>
        <w:t>Calculation of free-space attenuation</w:t>
      </w:r>
    </w:p>
    <w:p w:rsidR="00B6760C" w:rsidRPr="00383C52" w:rsidRDefault="00B6760C" w:rsidP="00B6760C">
      <w:pPr>
        <w:pStyle w:val="ECCParagraph"/>
        <w:spacing w:before="120" w:after="120"/>
        <w:rPr>
          <w:szCs w:val="20"/>
          <w:lang w:val="en-US"/>
        </w:rPr>
      </w:pPr>
    </w:p>
    <w:p w:rsidR="00DB7E11" w:rsidRPr="00804623" w:rsidRDefault="00DB7E11" w:rsidP="00DB7E11">
      <w:pPr>
        <w:pStyle w:val="ECCParagraph"/>
        <w:rPr>
          <w:b/>
        </w:rPr>
      </w:pPr>
      <w:r w:rsidRPr="00804623">
        <w:rPr>
          <w:b/>
        </w:rPr>
        <w:t xml:space="preserve">ITU-Reports: </w:t>
      </w:r>
    </w:p>
    <w:p w:rsidR="00DB7E11" w:rsidRPr="00DB7E11" w:rsidRDefault="00DB7E11" w:rsidP="00DB7E11">
      <w:pPr>
        <w:pStyle w:val="ECCParagraph"/>
        <w:rPr>
          <w:i/>
        </w:rPr>
      </w:pPr>
      <w:r w:rsidRPr="00DB7E11">
        <w:t>ITU-R M.2197 –</w:t>
      </w:r>
      <w:r w:rsidRPr="00DB7E11">
        <w:tab/>
      </w:r>
      <w:r w:rsidRPr="00DB7E11">
        <w:rPr>
          <w:i/>
        </w:rPr>
        <w:t>Technical characteristics and operational objectives for Wireless avionics intra-communications (WAIC)</w:t>
      </w:r>
    </w:p>
    <w:p w:rsidR="00DB7E11" w:rsidRPr="00DB7E11" w:rsidRDefault="00DB7E11" w:rsidP="00DB7E11">
      <w:pPr>
        <w:pStyle w:val="ECCParagraph"/>
        <w:rPr>
          <w:i/>
        </w:rPr>
      </w:pPr>
      <w:r w:rsidRPr="00DB7E11">
        <w:t xml:space="preserve">PDNR ITU-R M.[WAIC_CHAR_SPEC] - </w:t>
      </w:r>
      <w:r w:rsidRPr="00DB7E11">
        <w:rPr>
          <w:i/>
        </w:rPr>
        <w:t>Characteristics of WAIC systems and bandwidth requirements</w:t>
      </w:r>
      <w:r w:rsidRPr="00DB7E11">
        <w:rPr>
          <w:i/>
        </w:rPr>
        <w:br/>
        <w:t>to support their safe operation</w:t>
      </w:r>
    </w:p>
    <w:p w:rsidR="00DB7E11" w:rsidRPr="00DB7E11" w:rsidRDefault="00DB7E11" w:rsidP="00DB7E11">
      <w:pPr>
        <w:pStyle w:val="ECCParagraph"/>
        <w:rPr>
          <w:i/>
        </w:rPr>
      </w:pPr>
      <w:r w:rsidRPr="00DB7E11">
        <w:t xml:space="preserve">Working document towards a PDNR ITU-R M.[WAIC BANDS] - </w:t>
      </w:r>
      <w:r w:rsidRPr="00DB7E11">
        <w:rPr>
          <w:i/>
        </w:rPr>
        <w:t>Consideration of the aeronautical mobile (route), aeronautical mobile, and aeronautical radionavigation services allocations to accommodate wireless avionics intra-communications (WAIC)</w:t>
      </w:r>
    </w:p>
    <w:p w:rsidR="00DB7E11" w:rsidRPr="00383C52" w:rsidRDefault="00DB7E11" w:rsidP="00DB7E11">
      <w:pPr>
        <w:pStyle w:val="ECCParagraph"/>
        <w:spacing w:before="120" w:after="120"/>
        <w:rPr>
          <w:szCs w:val="20"/>
          <w:lang w:val="en-US"/>
        </w:rPr>
      </w:pPr>
    </w:p>
    <w:p w:rsidR="00DB7E11" w:rsidRPr="00804623" w:rsidRDefault="00B6760C" w:rsidP="00B6760C">
      <w:pPr>
        <w:pStyle w:val="ECCParagraph"/>
        <w:rPr>
          <w:b/>
        </w:rPr>
      </w:pPr>
      <w:r w:rsidRPr="00804623">
        <w:rPr>
          <w:b/>
        </w:rPr>
        <w:t>Other</w:t>
      </w:r>
      <w:r w:rsidR="00DB7E11" w:rsidRPr="00804623">
        <w:rPr>
          <w:b/>
        </w:rPr>
        <w:t xml:space="preserve"> ITU documents:</w:t>
      </w:r>
    </w:p>
    <w:p w:rsidR="00804623" w:rsidRPr="00B6760C" w:rsidRDefault="00804623" w:rsidP="00B6760C">
      <w:pPr>
        <w:pStyle w:val="ECCParagraph"/>
      </w:pPr>
    </w:p>
    <w:p w:rsidR="00B6760C" w:rsidRPr="00804623" w:rsidRDefault="00B6760C" w:rsidP="00B6760C">
      <w:pPr>
        <w:pStyle w:val="ECCParagraph"/>
        <w:rPr>
          <w:b/>
        </w:rPr>
      </w:pPr>
      <w:r w:rsidRPr="00804623">
        <w:rPr>
          <w:b/>
        </w:rPr>
        <w:t>CEPT and/or ECC Documentation (Decisions, Recommendations, Reports):</w:t>
      </w:r>
    </w:p>
    <w:p w:rsidR="00804623" w:rsidRPr="00121C7E" w:rsidRDefault="00804623" w:rsidP="00B6760C">
      <w:pPr>
        <w:pStyle w:val="ECCParagraph"/>
      </w:pPr>
    </w:p>
    <w:p w:rsidR="00B6760C" w:rsidRPr="00804623" w:rsidRDefault="00B6760C" w:rsidP="00B6760C">
      <w:pPr>
        <w:pStyle w:val="ECCParagraph"/>
        <w:rPr>
          <w:b/>
        </w:rPr>
      </w:pPr>
      <w:r w:rsidRPr="00804623">
        <w:rPr>
          <w:b/>
        </w:rPr>
        <w:t>EU Documentation (Directives, Decisions, Recommendations, other), if applicable:</w:t>
      </w:r>
    </w:p>
    <w:p w:rsidR="00804623" w:rsidRPr="00121C7E" w:rsidRDefault="00804623" w:rsidP="00B6760C">
      <w:pPr>
        <w:pStyle w:val="ECCParagraph"/>
      </w:pPr>
    </w:p>
    <w:p w:rsidR="009744B4" w:rsidRPr="00121C7E" w:rsidRDefault="009744B4" w:rsidP="009744B4">
      <w:pPr>
        <w:pStyle w:val="Heading1"/>
      </w:pPr>
      <w:r w:rsidRPr="00121C7E">
        <w:t>Actions to be taken</w:t>
      </w:r>
    </w:p>
    <w:p w:rsidR="00325274" w:rsidRPr="00383C52" w:rsidRDefault="00325274" w:rsidP="00325274">
      <w:pPr>
        <w:pStyle w:val="ECCParagraph"/>
        <w:rPr>
          <w:szCs w:val="20"/>
        </w:rPr>
      </w:pPr>
      <w:r w:rsidRPr="00383C52">
        <w:rPr>
          <w:szCs w:val="20"/>
        </w:rPr>
        <w:t>Prepare input for studies within the framework of ITU-R:</w:t>
      </w:r>
    </w:p>
    <w:p w:rsidR="00325274" w:rsidRPr="00325274" w:rsidRDefault="00325274" w:rsidP="00325274">
      <w:pPr>
        <w:pStyle w:val="ECCParBulleted"/>
        <w:spacing w:before="120"/>
      </w:pPr>
      <w:r w:rsidRPr="00325274">
        <w:t>CPM text</w:t>
      </w:r>
    </w:p>
    <w:p w:rsidR="00325274" w:rsidRPr="00325274" w:rsidRDefault="00325274" w:rsidP="00325274">
      <w:pPr>
        <w:pStyle w:val="ECCParBulleted"/>
        <w:spacing w:before="120"/>
      </w:pPr>
      <w:r w:rsidRPr="00325274">
        <w:t>Confirm assumptions and conclusions of the PDNR ITU-R M.[WAIC_CHAR_SPEC]</w:t>
      </w:r>
    </w:p>
    <w:p w:rsidR="00325274" w:rsidRPr="00325274" w:rsidRDefault="00325274" w:rsidP="00325274">
      <w:pPr>
        <w:pStyle w:val="ECCParBulleted"/>
        <w:spacing w:before="120"/>
      </w:pPr>
      <w:r w:rsidRPr="00325274">
        <w:t>Confirm assumptions and conclusions of the PDNR ITU-R M. [WAIC_BANDS]</w:t>
      </w:r>
    </w:p>
    <w:p w:rsidR="009744B4" w:rsidRPr="00121C7E" w:rsidRDefault="009744B4" w:rsidP="009744B4">
      <w:pPr>
        <w:pStyle w:val="Heading1"/>
      </w:pPr>
      <w:r w:rsidRPr="00121C7E">
        <w:t>Relevant information from outside CEPT (</w:t>
      </w:r>
      <w:r w:rsidR="0017055A" w:rsidRPr="00121C7E">
        <w:rPr>
          <w:caps w:val="0"/>
        </w:rPr>
        <w:t>examples of these are below</w:t>
      </w:r>
      <w:r w:rsidRPr="00121C7E">
        <w:t>)</w:t>
      </w:r>
    </w:p>
    <w:p w:rsidR="009744B4" w:rsidRPr="00121C7E" w:rsidRDefault="009744B4" w:rsidP="009744B4">
      <w:pPr>
        <w:pStyle w:val="Heading2"/>
        <w:rPr>
          <w:lang w:val="en-GB"/>
        </w:rPr>
      </w:pPr>
      <w:r w:rsidRPr="00121C7E">
        <w:rPr>
          <w:lang w:val="en-GB"/>
        </w:rPr>
        <w:t>European Union (</w:t>
      </w:r>
      <w:r w:rsidR="0017055A" w:rsidRPr="00121C7E">
        <w:rPr>
          <w:caps w:val="0"/>
          <w:lang w:val="en-GB"/>
        </w:rPr>
        <w:t>date of proposal</w:t>
      </w:r>
      <w:r w:rsidRPr="00121C7E">
        <w:rPr>
          <w:lang w:val="en-GB"/>
        </w:rPr>
        <w:t>)</w:t>
      </w:r>
    </w:p>
    <w:p w:rsidR="0017055A" w:rsidRPr="00121C7E" w:rsidRDefault="0017055A" w:rsidP="0017055A">
      <w:pPr>
        <w:pStyle w:val="ECCParagraph"/>
      </w:pPr>
    </w:p>
    <w:p w:rsidR="009744B4" w:rsidRPr="00121C7E" w:rsidRDefault="009744B4" w:rsidP="009744B4">
      <w:pPr>
        <w:pStyle w:val="Heading2"/>
        <w:rPr>
          <w:lang w:val="en-GB"/>
        </w:rPr>
      </w:pPr>
      <w:r w:rsidRPr="00121C7E">
        <w:rPr>
          <w:lang w:val="en-GB"/>
        </w:rPr>
        <w:lastRenderedPageBreak/>
        <w:t xml:space="preserve">Regional telecommunication organisations: </w:t>
      </w:r>
    </w:p>
    <w:p w:rsidR="009744B4" w:rsidRPr="00121C7E" w:rsidRDefault="009744B4" w:rsidP="009744B4">
      <w:pPr>
        <w:pStyle w:val="ECCParagraph"/>
      </w:pPr>
    </w:p>
    <w:p w:rsidR="009744B4" w:rsidRPr="00121C7E" w:rsidRDefault="009744B4" w:rsidP="009744B4">
      <w:pPr>
        <w:pStyle w:val="ECCParagraph"/>
      </w:pPr>
      <w:r w:rsidRPr="00121C7E">
        <w:t>APT (date of proposal)</w:t>
      </w:r>
    </w:p>
    <w:p w:rsidR="009744B4" w:rsidRPr="00121C7E" w:rsidRDefault="009744B4" w:rsidP="009744B4">
      <w:pPr>
        <w:pStyle w:val="ECCParagraph"/>
      </w:pPr>
    </w:p>
    <w:p w:rsidR="009744B4" w:rsidRPr="00121C7E" w:rsidRDefault="009744B4" w:rsidP="009744B4">
      <w:pPr>
        <w:pStyle w:val="ECCParagraph"/>
      </w:pPr>
      <w:r w:rsidRPr="00121C7E">
        <w:t>ATU (date of proposal)</w:t>
      </w:r>
    </w:p>
    <w:p w:rsidR="009744B4" w:rsidRPr="00121C7E" w:rsidRDefault="009744B4" w:rsidP="009744B4">
      <w:pPr>
        <w:pStyle w:val="ECCParagraph"/>
      </w:pPr>
    </w:p>
    <w:p w:rsidR="009744B4" w:rsidRPr="00121C7E" w:rsidRDefault="009744B4" w:rsidP="009744B4">
      <w:pPr>
        <w:pStyle w:val="ECCParagraph"/>
      </w:pPr>
      <w:r w:rsidRPr="00121C7E">
        <w:t>Arab Group (date of proposal)</w:t>
      </w:r>
    </w:p>
    <w:p w:rsidR="009744B4" w:rsidRPr="00121C7E" w:rsidRDefault="009744B4" w:rsidP="009744B4">
      <w:pPr>
        <w:pStyle w:val="ECCParagraph"/>
      </w:pPr>
    </w:p>
    <w:p w:rsidR="009744B4" w:rsidRPr="00121C7E" w:rsidRDefault="009744B4" w:rsidP="009744B4">
      <w:pPr>
        <w:pStyle w:val="ECCParagraph"/>
      </w:pPr>
      <w:r w:rsidRPr="00121C7E">
        <w:t>CITEL (</w:t>
      </w:r>
      <w:r w:rsidR="00325274" w:rsidRPr="00325274">
        <w:t>22-26 October, 2012</w:t>
      </w:r>
      <w:r w:rsidRPr="00121C7E">
        <w:t>)</w:t>
      </w:r>
    </w:p>
    <w:p w:rsidR="00325274" w:rsidRPr="00383C52" w:rsidRDefault="00325274" w:rsidP="00325274">
      <w:pPr>
        <w:pStyle w:val="ECCParagraph"/>
        <w:rPr>
          <w:szCs w:val="20"/>
          <w:lang w:val="en-US"/>
        </w:rPr>
      </w:pPr>
      <w:r w:rsidRPr="00383C52">
        <w:rPr>
          <w:szCs w:val="20"/>
          <w:lang w:val="en-US"/>
        </w:rPr>
        <w:t>Preliminary views:</w:t>
      </w:r>
    </w:p>
    <w:p w:rsidR="00325274" w:rsidRPr="00383C52" w:rsidRDefault="00325274" w:rsidP="00325274">
      <w:pPr>
        <w:pStyle w:val="ECCParagraph"/>
        <w:rPr>
          <w:szCs w:val="20"/>
          <w:lang w:val="en-US"/>
        </w:rPr>
      </w:pPr>
      <w:r w:rsidRPr="00383C52">
        <w:rPr>
          <w:szCs w:val="20"/>
          <w:lang w:val="en-US"/>
        </w:rPr>
        <w:t xml:space="preserve">Canada, USA, Brazil: support regulatory actions, including appropriate allocations to the AM(R)S limited to WAIC systems within existing worldwide AMS, AMRS and/or ARNS allocations below 15.7 GHz , providing ITU-R studies show compatibility with existing services in accordance with Resolution 423 (WRC-12).  Those studies should consider frequency bands above 15.7 GHz if spectrum requirements cannot be met in existing worldwide AMS, AM(R)S and/or ARNS allocations below 15.7 GHz. (Source: Doc 3011, 3046) </w:t>
      </w:r>
    </w:p>
    <w:p w:rsidR="009744B4" w:rsidRPr="00121C7E" w:rsidRDefault="009744B4" w:rsidP="009744B4">
      <w:pPr>
        <w:pStyle w:val="ECCParagraph"/>
      </w:pPr>
    </w:p>
    <w:p w:rsidR="009744B4" w:rsidRPr="00121C7E" w:rsidRDefault="009744B4" w:rsidP="009744B4">
      <w:pPr>
        <w:pStyle w:val="ECCParagraph"/>
      </w:pPr>
      <w:r w:rsidRPr="00121C7E">
        <w:t>RCC (date of proposal)</w:t>
      </w:r>
    </w:p>
    <w:p w:rsidR="009744B4" w:rsidRPr="00121C7E" w:rsidRDefault="009744B4" w:rsidP="009744B4">
      <w:pPr>
        <w:pStyle w:val="ECCParagraph"/>
      </w:pPr>
    </w:p>
    <w:p w:rsidR="00F735BC" w:rsidRPr="00121C7E" w:rsidRDefault="00F735BC" w:rsidP="00F735BC">
      <w:pPr>
        <w:pStyle w:val="Heading2"/>
        <w:rPr>
          <w:lang w:val="en-GB"/>
        </w:rPr>
      </w:pPr>
      <w:r w:rsidRPr="00121C7E">
        <w:rPr>
          <w:lang w:val="en-GB"/>
        </w:rPr>
        <w:t>International organisations</w:t>
      </w:r>
    </w:p>
    <w:p w:rsidR="00F735BC" w:rsidRPr="00121C7E" w:rsidRDefault="00F735BC" w:rsidP="00F735BC">
      <w:pPr>
        <w:pStyle w:val="ECCParagraph"/>
      </w:pPr>
    </w:p>
    <w:p w:rsidR="00F735BC" w:rsidRPr="00121C7E" w:rsidRDefault="00F735BC" w:rsidP="00F735BC">
      <w:pPr>
        <w:pStyle w:val="ECCParagraph"/>
      </w:pPr>
      <w:r w:rsidRPr="00121C7E">
        <w:t>IATA (date of proposal)</w:t>
      </w:r>
    </w:p>
    <w:p w:rsidR="00F735BC" w:rsidRPr="00121C7E" w:rsidRDefault="00F735BC" w:rsidP="00F735BC">
      <w:pPr>
        <w:pStyle w:val="ECCParagraph"/>
      </w:pPr>
    </w:p>
    <w:p w:rsidR="00F735BC" w:rsidRDefault="00F735BC" w:rsidP="00F735BC">
      <w:pPr>
        <w:pStyle w:val="ECCParagraph"/>
      </w:pPr>
      <w:r w:rsidRPr="00121C7E">
        <w:t>ICAO (</w:t>
      </w:r>
      <w:r w:rsidR="00325274" w:rsidRPr="00325274">
        <w:t>28 November 2012</w:t>
      </w:r>
      <w:r w:rsidRPr="00121C7E">
        <w:t>)</w:t>
      </w:r>
    </w:p>
    <w:p w:rsidR="00B6760C" w:rsidRDefault="00B6760C" w:rsidP="00B6760C">
      <w:pPr>
        <w:pStyle w:val="ECCParagraph"/>
        <w:rPr>
          <w:szCs w:val="20"/>
        </w:rPr>
      </w:pPr>
      <w:r w:rsidRPr="00BF04C0">
        <w:rPr>
          <w:szCs w:val="20"/>
        </w:rPr>
        <w:t>Preliminary position</w:t>
      </w:r>
    </w:p>
    <w:p w:rsidR="00F735BC" w:rsidRDefault="00325274" w:rsidP="00F735BC">
      <w:pPr>
        <w:pStyle w:val="ECCParagraph"/>
        <w:rPr>
          <w:lang w:val="en-US"/>
        </w:rPr>
      </w:pPr>
      <w:r w:rsidRPr="00325274">
        <w:rPr>
          <w:lang w:val="en-US"/>
        </w:rPr>
        <w:t>Support any necessary additional aeronautical mobile (route) service allocation required to facilitate the implementation of WAIC, provided technical studies show that WAIC systems will not cause harmful interference to existing or planned aeronautical systems in the aeronautical bands.</w:t>
      </w:r>
    </w:p>
    <w:p w:rsidR="00B6760C" w:rsidRPr="00325274" w:rsidRDefault="00B6760C" w:rsidP="00F735BC">
      <w:pPr>
        <w:pStyle w:val="ECCParagraph"/>
        <w:rPr>
          <w:lang w:val="en-US"/>
        </w:rPr>
      </w:pPr>
    </w:p>
    <w:p w:rsidR="00F735BC" w:rsidRPr="00121C7E" w:rsidRDefault="00F735BC" w:rsidP="00F735BC">
      <w:pPr>
        <w:pStyle w:val="ECCParagraph"/>
      </w:pPr>
      <w:r w:rsidRPr="00121C7E">
        <w:t>IMO (date of proposal)</w:t>
      </w:r>
    </w:p>
    <w:p w:rsidR="00F735BC" w:rsidRPr="00121C7E" w:rsidRDefault="00F735BC" w:rsidP="00F735BC">
      <w:pPr>
        <w:pStyle w:val="ECCParagraph"/>
      </w:pPr>
    </w:p>
    <w:p w:rsidR="00F735BC" w:rsidRPr="00121C7E" w:rsidRDefault="00F735BC" w:rsidP="00F735BC">
      <w:pPr>
        <w:pStyle w:val="ECCParagraph"/>
      </w:pPr>
      <w:r w:rsidRPr="00121C7E">
        <w:t>NATO (date of proposal)</w:t>
      </w:r>
    </w:p>
    <w:p w:rsidR="00F735BC" w:rsidRPr="00121C7E" w:rsidRDefault="00F735BC" w:rsidP="00F735BC">
      <w:pPr>
        <w:pStyle w:val="ECCParagraph"/>
      </w:pPr>
    </w:p>
    <w:p w:rsidR="00F735BC" w:rsidRPr="00121C7E" w:rsidRDefault="00F735BC" w:rsidP="00F735BC">
      <w:pPr>
        <w:pStyle w:val="ECCParagraph"/>
      </w:pPr>
      <w:r w:rsidRPr="00121C7E">
        <w:lastRenderedPageBreak/>
        <w:t>SFCG (date of proposal)</w:t>
      </w:r>
    </w:p>
    <w:p w:rsidR="00F735BC" w:rsidRPr="00121C7E" w:rsidRDefault="00F735BC" w:rsidP="00F735BC">
      <w:pPr>
        <w:pStyle w:val="ECCParagraph"/>
      </w:pPr>
    </w:p>
    <w:p w:rsidR="00F735BC" w:rsidRPr="00121C7E" w:rsidRDefault="00F735BC" w:rsidP="00F735BC">
      <w:pPr>
        <w:pStyle w:val="ECCParagraph"/>
      </w:pPr>
      <w:r w:rsidRPr="00121C7E">
        <w:t>WMO and EUMETNET (date of proposal)</w:t>
      </w:r>
    </w:p>
    <w:p w:rsidR="009744B4" w:rsidRPr="00121C7E" w:rsidRDefault="009744B4" w:rsidP="009744B4">
      <w:pPr>
        <w:pStyle w:val="ECCParagraph"/>
      </w:pPr>
    </w:p>
    <w:p w:rsidR="00F735BC" w:rsidRPr="00121C7E" w:rsidRDefault="00F735BC" w:rsidP="00F735BC">
      <w:pPr>
        <w:pStyle w:val="Heading2"/>
        <w:rPr>
          <w:lang w:val="en-GB"/>
        </w:rPr>
      </w:pPr>
      <w:r w:rsidRPr="00121C7E">
        <w:rPr>
          <w:lang w:val="en-GB"/>
        </w:rPr>
        <w:t>Regional organisations</w:t>
      </w:r>
    </w:p>
    <w:p w:rsidR="00F735BC" w:rsidRPr="00121C7E" w:rsidRDefault="00F735BC" w:rsidP="00F735BC">
      <w:pPr>
        <w:pStyle w:val="ECCParagraph"/>
      </w:pPr>
    </w:p>
    <w:p w:rsidR="00F735BC" w:rsidRPr="00121C7E" w:rsidRDefault="00F735BC" w:rsidP="00F735BC">
      <w:pPr>
        <w:pStyle w:val="ECCParagraph"/>
      </w:pPr>
      <w:r w:rsidRPr="00121C7E">
        <w:t>ESA (date of proposal)</w:t>
      </w:r>
    </w:p>
    <w:p w:rsidR="00F735BC" w:rsidRPr="00121C7E" w:rsidRDefault="00F735BC" w:rsidP="00F735BC">
      <w:pPr>
        <w:pStyle w:val="ECCParagraph"/>
      </w:pPr>
    </w:p>
    <w:p w:rsidR="00F735BC" w:rsidRPr="00121C7E" w:rsidRDefault="00F735BC" w:rsidP="00F735BC">
      <w:pPr>
        <w:pStyle w:val="ECCParagraph"/>
      </w:pPr>
      <w:proofErr w:type="spellStart"/>
      <w:r w:rsidRPr="00121C7E">
        <w:t>Eurocontrol</w:t>
      </w:r>
      <w:proofErr w:type="spellEnd"/>
      <w:r w:rsidRPr="00121C7E">
        <w:t xml:space="preserve"> (date of proposal)</w:t>
      </w:r>
    </w:p>
    <w:p w:rsidR="009744B4" w:rsidRPr="00121C7E" w:rsidRDefault="009744B4" w:rsidP="00005CA4">
      <w:pPr>
        <w:pStyle w:val="ECCParagraph"/>
      </w:pPr>
    </w:p>
    <w:sectPr w:rsidR="009744B4" w:rsidRPr="00121C7E" w:rsidSect="00C1412E">
      <w:headerReference w:type="even" r:id="rId9"/>
      <w:headerReference w:type="default" r:id="rId10"/>
      <w:footerReference w:type="even" r:id="rId11"/>
      <w:footerReference w:type="default" r:id="rId12"/>
      <w:headerReference w:type="first" r:id="rId13"/>
      <w:footerReference w:type="first" r:id="rId14"/>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0A1" w:rsidRDefault="001E00A1" w:rsidP="008A54FC">
      <w:r>
        <w:separator/>
      </w:r>
    </w:p>
  </w:endnote>
  <w:endnote w:type="continuationSeparator" w:id="0">
    <w:p w:rsidR="001E00A1" w:rsidRDefault="001E00A1"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59"/>
    <w:family w:val="auto"/>
    <w:pitch w:val="variable"/>
    <w:sig w:usb0="00000201" w:usb1="00000000" w:usb2="00000000" w:usb3="00000000" w:csb0="00000004"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09E" w:rsidRDefault="00BA10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09E" w:rsidRDefault="00BA10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09E" w:rsidRDefault="00BA10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0A1" w:rsidRDefault="001E00A1" w:rsidP="008A54FC">
      <w:r>
        <w:separator/>
      </w:r>
    </w:p>
  </w:footnote>
  <w:footnote w:type="continuationSeparator" w:id="0">
    <w:p w:rsidR="001E00A1" w:rsidRDefault="001E00A1"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EE6A7C">
    <w:pPr>
      <w:pStyle w:val="Header"/>
      <w:rPr>
        <w:szCs w:val="16"/>
        <w:lang w:val="en-GB"/>
      </w:rPr>
    </w:pPr>
    <w:r>
      <w:rPr>
        <w:lang w:val="en-GB"/>
      </w:rPr>
      <w:t>Draft CEPT Brief on AI 1.17</w:t>
    </w:r>
    <w:r w:rsidR="00803F98" w:rsidRPr="005F4F01">
      <w:rPr>
        <w:lang w:val="en-GB"/>
      </w:rPr>
      <w:t xml:space="preserve"> </w:t>
    </w:r>
    <w:r w:rsidR="00803F98" w:rsidRPr="005F4F01">
      <w:rPr>
        <w:szCs w:val="16"/>
        <w:lang w:val="en-GB"/>
      </w:rPr>
      <w:t xml:space="preserve">Page </w:t>
    </w:r>
    <w:r w:rsidR="00803F98">
      <w:fldChar w:fldCharType="begin"/>
    </w:r>
    <w:r w:rsidR="00803F98">
      <w:instrText xml:space="preserve"> PAGE  \* Arabic  \* MERGEFORMAT </w:instrText>
    </w:r>
    <w:r w:rsidR="00803F98">
      <w:fldChar w:fldCharType="separate"/>
    </w:r>
    <w:r w:rsidR="003A133B" w:rsidRPr="003A133B">
      <w:rPr>
        <w:noProof/>
        <w:szCs w:val="16"/>
        <w:lang w:val="en-GB"/>
      </w:rPr>
      <w:t>4</w:t>
    </w:r>
    <w:r w:rsidR="00803F98">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3A133B" w:rsidP="008A54FC">
    <w:pPr>
      <w:pStyle w:val="Header"/>
      <w:jc w:val="right"/>
      <w:rPr>
        <w:szCs w:val="16"/>
        <w:lang w:val="en-GB"/>
      </w:rPr>
    </w:pPr>
    <w:r>
      <w:rPr>
        <w:lang w:val="en-GB"/>
      </w:rPr>
      <w:t xml:space="preserve">CPG(13)010 Annex </w:t>
    </w:r>
    <w:r>
      <w:rPr>
        <w:lang w:val="en-GB"/>
      </w:rPr>
      <w:t>17</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1223D0" w:rsidRDefault="00803F98"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4">
    <w:nsid w:val="3D023A8C"/>
    <w:multiLevelType w:val="multilevel"/>
    <w:tmpl w:val="7FC8B8A0"/>
    <w:lvl w:ilvl="0">
      <w:start w:val="1"/>
      <w:numFmt w:val="lowerLetter"/>
      <w:lvlText w:val="%1)"/>
      <w:lvlJc w:val="left"/>
      <w:pPr>
        <w:tabs>
          <w:tab w:val="num" w:pos="680"/>
        </w:tabs>
        <w:ind w:left="680" w:hanging="340"/>
      </w:pPr>
      <w:rPr>
        <w:rFonts w:hint="default"/>
        <w:b w:val="0"/>
        <w:i w:val="0"/>
        <w:color w:val="D2232A"/>
        <w:sz w:val="20"/>
      </w:rPr>
    </w:lvl>
    <w:lvl w:ilvl="1">
      <w:start w:val="1"/>
      <w:numFmt w:val="lowerLetter"/>
      <w:lvlText w:val="%2)"/>
      <w:lvlJc w:val="left"/>
      <w:pPr>
        <w:tabs>
          <w:tab w:val="num" w:pos="1020"/>
        </w:tabs>
        <w:ind w:left="1020" w:hanging="340"/>
      </w:pPr>
      <w:rPr>
        <w:rFonts w:ascii="Arial" w:hAnsi="Arial" w:hint="default"/>
        <w:b w:val="0"/>
        <w:i w:val="0"/>
        <w:color w:val="D2232A"/>
        <w:sz w:val="20"/>
      </w:rPr>
    </w:lvl>
    <w:lvl w:ilvl="2">
      <w:start w:val="1"/>
      <w:numFmt w:val="bullet"/>
      <w:lvlText w:val=""/>
      <w:lvlJc w:val="left"/>
      <w:pPr>
        <w:tabs>
          <w:tab w:val="num" w:pos="1361"/>
        </w:tabs>
        <w:ind w:left="1361" w:hanging="341"/>
      </w:pPr>
      <w:rPr>
        <w:rFonts w:ascii="Wingdings" w:hAnsi="Wingdings" w:hint="default"/>
        <w:color w:val="D2232A"/>
      </w:rPr>
    </w:lvl>
    <w:lvl w:ilvl="3">
      <w:start w:val="1"/>
      <w:numFmt w:val="none"/>
      <w:lvlText w:val=""/>
      <w:lvlJc w:val="left"/>
      <w:pPr>
        <w:tabs>
          <w:tab w:val="num" w:pos="1417"/>
        </w:tabs>
        <w:ind w:left="2068" w:hanging="648"/>
      </w:pPr>
      <w:rPr>
        <w:rFonts w:hint="default"/>
      </w:rPr>
    </w:lvl>
    <w:lvl w:ilvl="4">
      <w:start w:val="1"/>
      <w:numFmt w:val="none"/>
      <w:lvlText w:val=""/>
      <w:lvlJc w:val="left"/>
      <w:pPr>
        <w:ind w:left="2572" w:hanging="792"/>
      </w:pPr>
      <w:rPr>
        <w:rFonts w:hint="default"/>
      </w:rPr>
    </w:lvl>
    <w:lvl w:ilvl="5">
      <w:start w:val="1"/>
      <w:numFmt w:val="none"/>
      <w:lvlText w:val=""/>
      <w:lvlJc w:val="left"/>
      <w:pPr>
        <w:ind w:left="3076" w:hanging="936"/>
      </w:pPr>
      <w:rPr>
        <w:rFonts w:hint="default"/>
      </w:rPr>
    </w:lvl>
    <w:lvl w:ilvl="6">
      <w:start w:val="1"/>
      <w:numFmt w:val="none"/>
      <w:lvlText w:val=""/>
      <w:lvlJc w:val="left"/>
      <w:pPr>
        <w:ind w:left="3580" w:hanging="1080"/>
      </w:pPr>
      <w:rPr>
        <w:rFonts w:hint="default"/>
      </w:rPr>
    </w:lvl>
    <w:lvl w:ilvl="7">
      <w:start w:val="1"/>
      <w:numFmt w:val="none"/>
      <w:lvlText w:val=""/>
      <w:lvlJc w:val="left"/>
      <w:pPr>
        <w:ind w:left="4084" w:hanging="1224"/>
      </w:pPr>
      <w:rPr>
        <w:rFonts w:hint="default"/>
      </w:rPr>
    </w:lvl>
    <w:lvl w:ilvl="8">
      <w:start w:val="1"/>
      <w:numFmt w:val="none"/>
      <w:lvlText w:val=""/>
      <w:lvlJc w:val="left"/>
      <w:pPr>
        <w:ind w:left="4660" w:hanging="1440"/>
      </w:pPr>
      <w:rPr>
        <w:rFonts w:hint="default"/>
      </w:rPr>
    </w:lvl>
  </w:abstractNum>
  <w:abstractNum w:abstractNumId="5">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7">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1">
    <w:nsid w:val="547A0C5E"/>
    <w:multiLevelType w:val="hybridMultilevel"/>
    <w:tmpl w:val="321A83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3">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4">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5">
    <w:nsid w:val="66E36C84"/>
    <w:multiLevelType w:val="multilevel"/>
    <w:tmpl w:val="FCEC7FBC"/>
    <w:numStyleLink w:val="ECCBullets"/>
  </w:abstractNum>
  <w:abstractNum w:abstractNumId="16">
    <w:nsid w:val="707767BF"/>
    <w:multiLevelType w:val="multilevel"/>
    <w:tmpl w:val="7060B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5"/>
  </w:num>
  <w:num w:numId="3">
    <w:abstractNumId w:val="18"/>
  </w:num>
  <w:num w:numId="4">
    <w:abstractNumId w:val="9"/>
  </w:num>
  <w:num w:numId="5">
    <w:abstractNumId w:val="2"/>
  </w:num>
  <w:num w:numId="6">
    <w:abstractNumId w:val="7"/>
  </w:num>
  <w:num w:numId="7">
    <w:abstractNumId w:val="7"/>
    <w:lvlOverride w:ilvl="0">
      <w:startOverride w:val="1"/>
    </w:lvlOverride>
  </w:num>
  <w:num w:numId="8">
    <w:abstractNumId w:val="0"/>
  </w:num>
  <w:num w:numId="9">
    <w:abstractNumId w:val="15"/>
  </w:num>
  <w:num w:numId="10">
    <w:abstractNumId w:val="13"/>
  </w:num>
  <w:num w:numId="11">
    <w:abstractNumId w:val="8"/>
  </w:num>
  <w:num w:numId="12">
    <w:abstractNumId w:val="3"/>
  </w:num>
  <w:num w:numId="13">
    <w:abstractNumId w:val="14"/>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6"/>
  </w:num>
  <w:num w:numId="20">
    <w:abstractNumId w:val="16"/>
  </w:num>
  <w:num w:numId="21">
    <w:abstractNumId w:val="4"/>
  </w:num>
  <w:num w:numId="2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5D6"/>
    <w:rsid w:val="00005CA4"/>
    <w:rsid w:val="00067793"/>
    <w:rsid w:val="000800C2"/>
    <w:rsid w:val="00082DD7"/>
    <w:rsid w:val="000A7419"/>
    <w:rsid w:val="000C028F"/>
    <w:rsid w:val="000E42F5"/>
    <w:rsid w:val="000F623D"/>
    <w:rsid w:val="00121C7E"/>
    <w:rsid w:val="0017055A"/>
    <w:rsid w:val="00183FE0"/>
    <w:rsid w:val="001E00A1"/>
    <w:rsid w:val="00274F84"/>
    <w:rsid w:val="002930E9"/>
    <w:rsid w:val="0029448B"/>
    <w:rsid w:val="002A7345"/>
    <w:rsid w:val="002F5286"/>
    <w:rsid w:val="00325274"/>
    <w:rsid w:val="00394C0D"/>
    <w:rsid w:val="003A133B"/>
    <w:rsid w:val="003D4741"/>
    <w:rsid w:val="004003EA"/>
    <w:rsid w:val="004110CA"/>
    <w:rsid w:val="004B1D2B"/>
    <w:rsid w:val="00550D79"/>
    <w:rsid w:val="00557B5A"/>
    <w:rsid w:val="00594186"/>
    <w:rsid w:val="005C10EB"/>
    <w:rsid w:val="005F4F01"/>
    <w:rsid w:val="006C2C2F"/>
    <w:rsid w:val="007014FB"/>
    <w:rsid w:val="00723AA2"/>
    <w:rsid w:val="00734A4F"/>
    <w:rsid w:val="00763BA3"/>
    <w:rsid w:val="00767BB2"/>
    <w:rsid w:val="00780376"/>
    <w:rsid w:val="00797D4C"/>
    <w:rsid w:val="007E67DD"/>
    <w:rsid w:val="00803F98"/>
    <w:rsid w:val="00804623"/>
    <w:rsid w:val="008345D6"/>
    <w:rsid w:val="008A54FC"/>
    <w:rsid w:val="008B70CD"/>
    <w:rsid w:val="008D450A"/>
    <w:rsid w:val="008F6CDE"/>
    <w:rsid w:val="00941FD2"/>
    <w:rsid w:val="0095068E"/>
    <w:rsid w:val="009744B4"/>
    <w:rsid w:val="009B52D9"/>
    <w:rsid w:val="009E47EB"/>
    <w:rsid w:val="00A076B5"/>
    <w:rsid w:val="00A95ACB"/>
    <w:rsid w:val="00AA086A"/>
    <w:rsid w:val="00AB52DA"/>
    <w:rsid w:val="00AB7E9F"/>
    <w:rsid w:val="00AF31D9"/>
    <w:rsid w:val="00B25463"/>
    <w:rsid w:val="00B30D3B"/>
    <w:rsid w:val="00B432D4"/>
    <w:rsid w:val="00B6760C"/>
    <w:rsid w:val="00BA109E"/>
    <w:rsid w:val="00BB6976"/>
    <w:rsid w:val="00C1412E"/>
    <w:rsid w:val="00D06D75"/>
    <w:rsid w:val="00DB7E11"/>
    <w:rsid w:val="00DD057B"/>
    <w:rsid w:val="00DF2C67"/>
    <w:rsid w:val="00E1123C"/>
    <w:rsid w:val="00E31065"/>
    <w:rsid w:val="00E71AE7"/>
    <w:rsid w:val="00EA6088"/>
    <w:rsid w:val="00EE6A7C"/>
    <w:rsid w:val="00F735BC"/>
    <w:rsid w:val="00F93115"/>
    <w:rsid w:val="00F967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Reasons">
    <w:name w:val="Reasons"/>
    <w:basedOn w:val="Normal"/>
    <w:rsid w:val="00DB7E11"/>
    <w:pPr>
      <w:tabs>
        <w:tab w:val="left" w:pos="1134"/>
        <w:tab w:val="left" w:pos="1588"/>
        <w:tab w:val="left" w:pos="1985"/>
      </w:tabs>
      <w:overflowPunct w:val="0"/>
      <w:autoSpaceDE w:val="0"/>
      <w:autoSpaceDN w:val="0"/>
      <w:adjustRightInd w:val="0"/>
      <w:spacing w:before="120"/>
      <w:textAlignment w:val="baseline"/>
    </w:pPr>
    <w:rPr>
      <w:rFonts w:ascii="Times New Roman" w:eastAsia="MS Mincho" w:hAnsi="Times New Roman"/>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Reasons">
    <w:name w:val="Reasons"/>
    <w:basedOn w:val="Normal"/>
    <w:rsid w:val="00DB7E11"/>
    <w:pPr>
      <w:tabs>
        <w:tab w:val="left" w:pos="1134"/>
        <w:tab w:val="left" w:pos="1588"/>
        <w:tab w:val="left" w:pos="1985"/>
      </w:tabs>
      <w:overflowPunct w:val="0"/>
      <w:autoSpaceDE w:val="0"/>
      <w:autoSpaceDN w:val="0"/>
      <w:adjustRightInd w:val="0"/>
      <w:spacing w:before="120"/>
      <w:textAlignment w:val="baseline"/>
    </w:pPr>
    <w:rPr>
      <w:rFonts w:ascii="Times New Roman" w:eastAsia="MS Mincho" w:hAnsi="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tella\STELLA\CPG%20PTC\1st%20meeting%20ECO\TEMP%20docs_new\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10A8E-041F-449B-993B-B579EF207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CEPT Brief.dotx</Template>
  <TotalTime>3</TotalTime>
  <Pages>4</Pages>
  <Words>864</Words>
  <Characters>4925</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CEPT Brief</vt:lpstr>
      <vt:lpstr>DRAFT CEPT Brief</vt:lpstr>
    </vt:vector>
  </TitlesOfParts>
  <Company>ECO</Company>
  <LinksUpToDate>false</LinksUpToDate>
  <CharactersWithSpaces>5778</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dc:title>
  <dc:creator>Stella Lyubchenko</dc:creator>
  <dc:description>This template is used as guidance to draft CEPT Brief</dc:description>
  <cp:lastModifiedBy>wesley.milton</cp:lastModifiedBy>
  <cp:revision>5</cp:revision>
  <cp:lastPrinted>2012-08-23T09:39:00Z</cp:lastPrinted>
  <dcterms:created xsi:type="dcterms:W3CDTF">2013-01-07T12:37:00Z</dcterms:created>
  <dcterms:modified xsi:type="dcterms:W3CDTF">2013-01-24T14:13:00Z</dcterms:modified>
</cp:coreProperties>
</file>